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0BD" w:rsidRPr="004B60BD" w:rsidRDefault="004B60BD" w:rsidP="004B60BD">
      <w:pPr>
        <w:spacing w:before="37" w:line="360" w:lineRule="auto"/>
        <w:jc w:val="center"/>
        <w:rPr>
          <w:rFonts w:asciiTheme="minorHAnsi" w:hAnsiTheme="minorHAnsi" w:cstheme="minorHAnsi"/>
          <w:b/>
          <w:bCs/>
          <w:sz w:val="32"/>
          <w:szCs w:val="32"/>
          <w:lang w:val="fr-FR"/>
        </w:rPr>
      </w:pPr>
      <w:r w:rsidRPr="004B60BD">
        <w:rPr>
          <w:rFonts w:asciiTheme="minorHAnsi" w:hAnsiTheme="minorHAnsi" w:cstheme="minorHAnsi"/>
          <w:noProof/>
          <w:sz w:val="32"/>
          <w:szCs w:val="32"/>
          <w:lang w:val="fr-FR" w:eastAsia="fr-FR" w:bidi="ar-SA"/>
        </w:rPr>
        <w:drawing>
          <wp:anchor distT="0" distB="0" distL="0" distR="0" simplePos="0" relativeHeight="251661312" behindDoc="0" locked="0" layoutInCell="1" allowOverlap="1" wp14:anchorId="07BF1CF8" wp14:editId="49C6F989">
            <wp:simplePos x="0" y="0"/>
            <wp:positionH relativeFrom="page">
              <wp:posOffset>6298015</wp:posOffset>
            </wp:positionH>
            <wp:positionV relativeFrom="page">
              <wp:posOffset>144145</wp:posOffset>
            </wp:positionV>
            <wp:extent cx="1098061" cy="803909"/>
            <wp:effectExtent l="0" t="0" r="0" b="0"/>
            <wp:wrapNone/>
            <wp:docPr id="1" name="image1.jpeg"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98061" cy="803909"/>
                    </a:xfrm>
                    <a:prstGeom prst="rect">
                      <a:avLst/>
                    </a:prstGeom>
                  </pic:spPr>
                </pic:pic>
              </a:graphicData>
            </a:graphic>
          </wp:anchor>
        </w:drawing>
      </w:r>
      <w:r w:rsidRPr="004B60BD">
        <w:rPr>
          <w:rFonts w:asciiTheme="minorHAnsi" w:hAnsiTheme="minorHAnsi" w:cstheme="minorHAnsi"/>
          <w:b/>
          <w:bCs/>
          <w:w w:val="105"/>
          <w:sz w:val="32"/>
          <w:szCs w:val="32"/>
          <w:lang w:val="fr-FR"/>
        </w:rPr>
        <w:t xml:space="preserve">La DKV BOX </w:t>
      </w:r>
      <w:r w:rsidRPr="004B60BD">
        <w:rPr>
          <w:rFonts w:asciiTheme="minorHAnsi" w:hAnsiTheme="minorHAnsi" w:cstheme="minorHAnsi"/>
          <w:b/>
          <w:bCs/>
          <w:i/>
          <w:w w:val="105"/>
          <w:sz w:val="32"/>
          <w:szCs w:val="32"/>
          <w:lang w:val="fr-FR"/>
        </w:rPr>
        <w:t xml:space="preserve">EUROPE </w:t>
      </w:r>
      <w:r w:rsidRPr="004B60BD">
        <w:rPr>
          <w:rFonts w:asciiTheme="minorHAnsi" w:hAnsiTheme="minorHAnsi" w:cstheme="minorHAnsi"/>
          <w:b/>
          <w:bCs/>
          <w:w w:val="105"/>
          <w:sz w:val="32"/>
          <w:szCs w:val="32"/>
          <w:lang w:val="fr-FR"/>
        </w:rPr>
        <w:t>est désormais disponible</w:t>
      </w:r>
    </w:p>
    <w:p w:rsidR="004B60BD" w:rsidRPr="004B60BD" w:rsidRDefault="004B60BD" w:rsidP="004B60BD">
      <w:pPr>
        <w:pStyle w:val="Plattetekst"/>
        <w:spacing w:before="221" w:line="360" w:lineRule="auto"/>
        <w:jc w:val="center"/>
        <w:rPr>
          <w:rFonts w:asciiTheme="minorHAnsi" w:hAnsiTheme="minorHAnsi" w:cstheme="minorHAnsi"/>
          <w:i/>
          <w:iCs/>
          <w:sz w:val="20"/>
          <w:szCs w:val="20"/>
          <w:lang w:val="fr-FR"/>
        </w:rPr>
      </w:pPr>
      <w:r w:rsidRPr="004B60BD">
        <w:rPr>
          <w:rFonts w:asciiTheme="minorHAnsi" w:hAnsiTheme="minorHAnsi" w:cstheme="minorHAnsi"/>
          <w:i/>
          <w:iCs/>
          <w:w w:val="105"/>
          <w:sz w:val="20"/>
          <w:szCs w:val="20"/>
          <w:lang w:val="fr-FR"/>
        </w:rPr>
        <w:t xml:space="preserve">L’OBU SET permet la facturation du péage acquitté en Allemagne, Belgique, France, Autriche, Portugal, Espagne et aux tunnels de Herren (Lübeck), de Liefkenshoek (Belgique) et de Warnow (Rostock) </w:t>
      </w:r>
      <w:r>
        <w:rPr>
          <w:rFonts w:asciiTheme="minorHAnsi" w:hAnsiTheme="minorHAnsi" w:cstheme="minorHAnsi"/>
          <w:i/>
          <w:iCs/>
          <w:w w:val="105"/>
          <w:sz w:val="20"/>
          <w:szCs w:val="20"/>
          <w:lang w:val="fr-FR"/>
        </w:rPr>
        <w:br/>
      </w:r>
      <w:r w:rsidRPr="004B60BD">
        <w:rPr>
          <w:rFonts w:asciiTheme="minorHAnsi" w:hAnsiTheme="minorHAnsi" w:cstheme="minorHAnsi"/>
          <w:i/>
          <w:iCs/>
          <w:w w:val="105"/>
          <w:sz w:val="20"/>
          <w:szCs w:val="20"/>
          <w:lang w:val="fr-FR"/>
        </w:rPr>
        <w:t>Autres pays en préparation</w:t>
      </w:r>
    </w:p>
    <w:p w:rsidR="004B60BD" w:rsidRPr="002A5B48" w:rsidRDefault="004B60BD" w:rsidP="004B60BD">
      <w:pPr>
        <w:pStyle w:val="Plattetekst"/>
        <w:spacing w:before="12" w:line="360" w:lineRule="auto"/>
        <w:rPr>
          <w:rFonts w:asciiTheme="minorHAnsi" w:hAnsiTheme="minorHAnsi" w:cstheme="minorHAnsi"/>
          <w:lang w:val="fr-FR"/>
        </w:rPr>
      </w:pPr>
    </w:p>
    <w:p w:rsidR="004B60BD" w:rsidRPr="004B60BD" w:rsidRDefault="004B60BD" w:rsidP="004B60BD">
      <w:pPr>
        <w:pStyle w:val="Plattetekst"/>
        <w:spacing w:line="360" w:lineRule="auto"/>
        <w:ind w:right="209"/>
        <w:rPr>
          <w:rFonts w:asciiTheme="minorHAnsi" w:hAnsiTheme="minorHAnsi" w:cstheme="minorHAnsi"/>
          <w:b/>
          <w:bCs/>
          <w:sz w:val="20"/>
          <w:szCs w:val="20"/>
          <w:lang w:val="fr-FR"/>
        </w:rPr>
      </w:pPr>
      <w:r w:rsidRPr="004B60BD">
        <w:rPr>
          <w:rFonts w:asciiTheme="minorHAnsi" w:hAnsiTheme="minorHAnsi" w:cstheme="minorHAnsi"/>
          <w:iCs/>
          <w:w w:val="105"/>
          <w:sz w:val="20"/>
          <w:szCs w:val="20"/>
          <w:lang w:val="fr-FR"/>
        </w:rPr>
        <w:t xml:space="preserve">Noordwijkerhout, 7 novembre 2019 - </w:t>
      </w:r>
      <w:r w:rsidRPr="004B60BD">
        <w:rPr>
          <w:rFonts w:asciiTheme="minorHAnsi" w:hAnsiTheme="minorHAnsi" w:cstheme="minorHAnsi"/>
          <w:b/>
          <w:bCs/>
          <w:iCs/>
          <w:w w:val="105"/>
          <w:sz w:val="20"/>
          <w:szCs w:val="20"/>
          <w:lang w:val="fr-FR"/>
        </w:rPr>
        <w:t>La DKV BOX EUROPE, avec laquelle il faudra</w:t>
      </w:r>
      <w:r w:rsidRPr="004B60BD">
        <w:rPr>
          <w:rFonts w:asciiTheme="minorHAnsi" w:hAnsiTheme="minorHAnsi" w:cstheme="minorHAnsi"/>
          <w:b/>
          <w:bCs/>
          <w:w w:val="105"/>
          <w:sz w:val="20"/>
          <w:szCs w:val="20"/>
          <w:lang w:val="fr-FR"/>
        </w:rPr>
        <w:t xml:space="preserve"> régler les principaux péages acquittés en Europe, est désormais disponible. L’unité embarquée pourra facturer les péages dus par les PL en Allemagne, Belgique, France, Autriche, Espagne et Portugal ainsi qu’aux tunnels de Liefkenshoek en Belgique, de Herren à Lübeck et de Warnow à Rostock, en Allemagne. D’autres péages se joindront à cette liste par la suite.</w:t>
      </w:r>
    </w:p>
    <w:p w:rsidR="004B60BD" w:rsidRPr="004B60BD" w:rsidRDefault="004B60BD" w:rsidP="004B60BD">
      <w:pPr>
        <w:pStyle w:val="Plattetekst"/>
        <w:spacing w:line="360" w:lineRule="auto"/>
        <w:rPr>
          <w:rFonts w:asciiTheme="minorHAnsi" w:hAnsiTheme="minorHAnsi" w:cstheme="minorHAnsi"/>
          <w:sz w:val="20"/>
          <w:szCs w:val="20"/>
          <w:lang w:val="fr-FR"/>
        </w:rPr>
      </w:pPr>
    </w:p>
    <w:p w:rsidR="004B60BD" w:rsidRPr="004B60BD" w:rsidRDefault="004B60BD" w:rsidP="004B60BD">
      <w:pPr>
        <w:pStyle w:val="Plattetekst"/>
        <w:spacing w:line="360" w:lineRule="auto"/>
        <w:ind w:right="209"/>
        <w:rPr>
          <w:rFonts w:asciiTheme="minorHAnsi" w:hAnsiTheme="minorHAnsi" w:cstheme="minorHAnsi"/>
          <w:w w:val="105"/>
          <w:sz w:val="20"/>
          <w:szCs w:val="20"/>
          <w:lang w:val="fr-FR"/>
        </w:rPr>
      </w:pPr>
      <w:r w:rsidRPr="004B60BD">
        <w:rPr>
          <w:rFonts w:asciiTheme="minorHAnsi" w:hAnsiTheme="minorHAnsi" w:cstheme="minorHAnsi"/>
          <w:w w:val="105"/>
          <w:sz w:val="20"/>
          <w:szCs w:val="20"/>
          <w:lang w:val="fr-FR"/>
        </w:rPr>
        <w:t xml:space="preserve">« Nous avons pour ambition de proposer à nos clients allemands et européens la meilleure solution SET du marché », dit Jérôme Lejeune, responsable du péage chez DKV Euro Service. Pour ce faire, chaque étape du processus a d’abord été testé à fond : du fonctionnement de la DKV BOX </w:t>
      </w:r>
      <w:r w:rsidRPr="004B60BD">
        <w:rPr>
          <w:rFonts w:asciiTheme="minorHAnsi" w:hAnsiTheme="minorHAnsi" w:cstheme="minorHAnsi"/>
          <w:i/>
          <w:w w:val="105"/>
          <w:sz w:val="20"/>
          <w:szCs w:val="20"/>
          <w:lang w:val="fr-FR"/>
        </w:rPr>
        <w:t xml:space="preserve">EUROPE </w:t>
      </w:r>
      <w:r w:rsidRPr="004B60BD">
        <w:rPr>
          <w:rFonts w:asciiTheme="minorHAnsi" w:hAnsiTheme="minorHAnsi" w:cstheme="minorHAnsi"/>
          <w:w w:val="105"/>
          <w:sz w:val="20"/>
          <w:szCs w:val="20"/>
          <w:lang w:val="fr-FR"/>
        </w:rPr>
        <w:t xml:space="preserve">elle-même à son installation et à son comportement à l’usage, en passant par la bonne transmission des données et la facturation. Markus Präßl, responsable de la commercialisation chez DKV Euro Service, ajoute pour sa part : « Avec la DKV BOX </w:t>
      </w:r>
      <w:r w:rsidRPr="004B60BD">
        <w:rPr>
          <w:rFonts w:asciiTheme="minorHAnsi" w:hAnsiTheme="minorHAnsi" w:cstheme="minorHAnsi"/>
          <w:i/>
          <w:w w:val="105"/>
          <w:sz w:val="20"/>
          <w:szCs w:val="20"/>
          <w:lang w:val="fr-FR"/>
        </w:rPr>
        <w:t xml:space="preserve">EUROPE </w:t>
      </w:r>
      <w:r w:rsidRPr="004B60BD">
        <w:rPr>
          <w:rFonts w:asciiTheme="minorHAnsi" w:hAnsiTheme="minorHAnsi" w:cstheme="minorHAnsi"/>
          <w:w w:val="105"/>
          <w:sz w:val="20"/>
          <w:szCs w:val="20"/>
          <w:lang w:val="fr-FR"/>
        </w:rPr>
        <w:t>nous garantissons à nos clients une prise en charge 100% sécurisée et un excellent niveau de service. »</w:t>
      </w:r>
    </w:p>
    <w:p w:rsidR="004B60BD" w:rsidRPr="004B60BD" w:rsidRDefault="004B60BD" w:rsidP="004B60BD">
      <w:pPr>
        <w:pStyle w:val="Plattetekst"/>
        <w:spacing w:line="360" w:lineRule="auto"/>
        <w:ind w:right="209"/>
        <w:rPr>
          <w:sz w:val="20"/>
          <w:szCs w:val="20"/>
          <w:lang w:val="fr-FR"/>
        </w:rPr>
      </w:pPr>
    </w:p>
    <w:p w:rsidR="004B60BD" w:rsidRPr="004B60BD" w:rsidRDefault="004B60BD" w:rsidP="004B60BD">
      <w:pPr>
        <w:pStyle w:val="Plattetekst"/>
        <w:spacing w:line="360" w:lineRule="auto"/>
        <w:ind w:right="209"/>
        <w:rPr>
          <w:sz w:val="20"/>
          <w:szCs w:val="20"/>
          <w:lang w:val="fr-FR"/>
        </w:rPr>
      </w:pPr>
      <w:r w:rsidRPr="004B60BD">
        <w:rPr>
          <w:sz w:val="20"/>
          <w:szCs w:val="20"/>
          <w:lang w:val="fr-FR"/>
        </w:rPr>
        <w:t xml:space="preserve">En savoir plus : </w:t>
      </w:r>
      <w:hyperlink r:id="rId5" w:history="1">
        <w:r w:rsidRPr="004B60BD">
          <w:rPr>
            <w:rStyle w:val="Hyperlink"/>
            <w:sz w:val="20"/>
            <w:szCs w:val="20"/>
            <w:lang w:val="fr-FR"/>
          </w:rPr>
          <w:t>www.dkv-euroservice.com</w:t>
        </w:r>
      </w:hyperlink>
    </w:p>
    <w:p w:rsidR="004B60BD" w:rsidRPr="004B60BD" w:rsidRDefault="004B60BD" w:rsidP="004B60BD">
      <w:pPr>
        <w:spacing w:line="360" w:lineRule="auto"/>
        <w:rPr>
          <w:sz w:val="20"/>
          <w:szCs w:val="20"/>
          <w:lang w:val="fr-FR"/>
        </w:rPr>
      </w:pPr>
    </w:p>
    <w:p w:rsidR="008D2E4E" w:rsidRPr="008D2E4E" w:rsidRDefault="008D2E4E" w:rsidP="008D2E4E">
      <w:pPr>
        <w:widowControl/>
        <w:autoSpaceDE/>
        <w:autoSpaceDN/>
        <w:spacing w:line="360" w:lineRule="auto"/>
        <w:rPr>
          <w:rFonts w:eastAsia="Times New Roman"/>
          <w:color w:val="000000"/>
          <w:sz w:val="20"/>
          <w:szCs w:val="20"/>
          <w:lang w:val="en-US" w:eastAsia="nl-NL" w:bidi="ar-SA"/>
        </w:rPr>
      </w:pPr>
      <w:r w:rsidRPr="008D2E4E">
        <w:rPr>
          <w:rFonts w:eastAsia="Times New Roman"/>
          <w:b/>
          <w:bCs/>
          <w:color w:val="000000"/>
          <w:sz w:val="20"/>
          <w:szCs w:val="20"/>
          <w:lang w:val="en-US" w:eastAsia="nl-NL" w:bidi="ar-SA"/>
        </w:rPr>
        <w:t>DKV Euro Service</w:t>
      </w:r>
    </w:p>
    <w:p w:rsidR="008D2E4E" w:rsidRPr="008D2E4E" w:rsidRDefault="008D2E4E" w:rsidP="008D2E4E">
      <w:pPr>
        <w:widowControl/>
        <w:autoSpaceDE/>
        <w:autoSpaceDN/>
        <w:spacing w:line="360" w:lineRule="auto"/>
        <w:rPr>
          <w:rFonts w:eastAsia="Times New Roman"/>
          <w:color w:val="000000"/>
          <w:sz w:val="20"/>
          <w:szCs w:val="20"/>
          <w:lang w:val="en-US" w:eastAsia="nl-NL" w:bidi="ar-SA"/>
        </w:rPr>
      </w:pPr>
      <w:r w:rsidRPr="008D2E4E">
        <w:rPr>
          <w:rFonts w:eastAsia="Times New Roman"/>
          <w:color w:val="000000"/>
          <w:sz w:val="20"/>
          <w:szCs w:val="20"/>
          <w:lang w:val="en-US" w:eastAsia="nl-NL" w:bidi="ar-SA"/>
        </w:rPr>
        <w:t>DKV Euro Service est depuis 85 ans l’un des plus grands prestataires de service dans le domaine du transport routier et de la logistique. De l’accès aux services sans débourser d’argent liquide aux 100 000 points d’acceptation toutes marques confondues au règlement du péage en passant par la récupération de la TVA, DKV propose de nombreux services dans le but d’optimiser les coûts et permettre la gestion efficace des parcs de véhicules sur les routes européennes. DKV fait partie du groupe DKV MOBILITY SERVICES qui emploie environ</w:t>
      </w:r>
      <w:r>
        <w:rPr>
          <w:rFonts w:eastAsia="Times New Roman"/>
          <w:color w:val="000000"/>
          <w:sz w:val="20"/>
          <w:szCs w:val="20"/>
          <w:lang w:val="en-US" w:eastAsia="nl-NL" w:bidi="ar-SA"/>
        </w:rPr>
        <w:t xml:space="preserve">. </w:t>
      </w:r>
      <w:bookmarkStart w:id="0" w:name="_GoBack"/>
      <w:bookmarkEnd w:id="0"/>
      <w:r w:rsidRPr="008D2E4E">
        <w:rPr>
          <w:rFonts w:eastAsia="Times New Roman"/>
          <w:color w:val="000000"/>
          <w:sz w:val="20"/>
          <w:szCs w:val="20"/>
          <w:lang w:val="en-US" w:eastAsia="nl-NL" w:bidi="ar-SA"/>
        </w:rPr>
        <w:t>1 000 personnes et est représenté dans 42 pays. En 2018, ce groupe a réalisé un chiffre d’affaires de 8,6 milliards d’euros. A l’heure actuelle, ses 200 000 clients utilisent environ 3,7 millions de cartes DKV et unités embarquées. </w:t>
      </w:r>
      <w:r w:rsidRPr="008D2E4E">
        <w:rPr>
          <w:rFonts w:eastAsia="Times New Roman"/>
          <w:color w:val="000000"/>
          <w:sz w:val="20"/>
          <w:szCs w:val="20"/>
          <w:lang w:val="nl-NL" w:eastAsia="nl-NL" w:bidi="ar-SA"/>
        </w:rPr>
        <w:t>En 2019, la carte DKV a été élue pour la quinzième fois consécutive meilleure carte de carburant et de services.</w:t>
      </w:r>
    </w:p>
    <w:p w:rsidR="004B60BD" w:rsidRPr="004B60BD" w:rsidRDefault="004B60BD" w:rsidP="004B60BD">
      <w:pPr>
        <w:pStyle w:val="Tekstzonderopmaak"/>
        <w:spacing w:line="360" w:lineRule="auto"/>
        <w:ind w:right="1415"/>
        <w:rPr>
          <w:rFonts w:asciiTheme="minorHAnsi" w:hAnsiTheme="minorHAnsi" w:cstheme="minorHAnsi"/>
          <w:lang w:val="fr-FR"/>
        </w:rPr>
      </w:pPr>
    </w:p>
    <w:p w:rsidR="004B60BD" w:rsidRPr="00577DC6" w:rsidRDefault="004B60BD" w:rsidP="004B60BD">
      <w:pPr>
        <w:shd w:val="clear" w:color="auto" w:fill="FFFFFF"/>
        <w:spacing w:line="360" w:lineRule="auto"/>
        <w:rPr>
          <w:rFonts w:cs="Vani"/>
          <w:b/>
          <w:color w:val="000000"/>
          <w:sz w:val="20"/>
          <w:szCs w:val="20"/>
          <w:lang w:val="fr-FR"/>
        </w:rPr>
      </w:pPr>
      <w:r w:rsidRPr="00577DC6">
        <w:rPr>
          <w:rFonts w:cs="Vani"/>
          <w:b/>
          <w:color w:val="000000"/>
          <w:sz w:val="20"/>
          <w:szCs w:val="20"/>
          <w:lang w:val="fr-FR"/>
        </w:rPr>
        <w:t xml:space="preserve">Contact chez DKV: </w:t>
      </w:r>
      <w:r w:rsidRPr="00577DC6">
        <w:rPr>
          <w:rFonts w:cs="Vani"/>
          <w:b/>
          <w:color w:val="000000"/>
          <w:sz w:val="20"/>
          <w:szCs w:val="20"/>
          <w:lang w:val="fr-FR"/>
        </w:rPr>
        <w:br/>
      </w:r>
      <w:r w:rsidRPr="00577DC6">
        <w:rPr>
          <w:rFonts w:cs="Vani"/>
          <w:color w:val="000000"/>
          <w:sz w:val="20"/>
          <w:szCs w:val="20"/>
          <w:lang w:val="fr-FR"/>
        </w:rPr>
        <w:t xml:space="preserve">Greta Lammerse, Tél.: +31 252345665, E-mail: </w:t>
      </w:r>
      <w:hyperlink r:id="rId6" w:history="1">
        <w:r w:rsidRPr="00577DC6">
          <w:rPr>
            <w:rStyle w:val="Hyperlink"/>
            <w:rFonts w:cs="Vani"/>
            <w:color w:val="000000"/>
            <w:sz w:val="20"/>
            <w:szCs w:val="20"/>
            <w:lang w:val="fr-FR"/>
          </w:rPr>
          <w:t>Greta.lammerse@dkv-euroservice.com</w:t>
        </w:r>
      </w:hyperlink>
      <w:r w:rsidRPr="00577DC6">
        <w:rPr>
          <w:rStyle w:val="Hyperlink"/>
          <w:rFonts w:cs="Vani"/>
          <w:color w:val="000000"/>
          <w:sz w:val="20"/>
          <w:szCs w:val="20"/>
          <w:lang w:val="fr-FR"/>
        </w:rPr>
        <w:br/>
      </w:r>
    </w:p>
    <w:p w:rsidR="004B60BD" w:rsidRPr="00EC6788" w:rsidRDefault="004B60BD" w:rsidP="004B60BD">
      <w:pPr>
        <w:shd w:val="clear" w:color="auto" w:fill="FFFFFF"/>
        <w:spacing w:line="360" w:lineRule="auto"/>
        <w:rPr>
          <w:rFonts w:asciiTheme="minorHAnsi" w:hAnsiTheme="minorHAnsi" w:cstheme="minorHAnsi"/>
          <w:sz w:val="20"/>
          <w:szCs w:val="20"/>
          <w:lang w:val="fr-FR"/>
        </w:rPr>
      </w:pPr>
      <w:r w:rsidRPr="00577DC6">
        <w:rPr>
          <w:rFonts w:cs="Vani"/>
          <w:b/>
          <w:color w:val="000000"/>
          <w:sz w:val="20"/>
          <w:szCs w:val="20"/>
          <w:lang w:val="fr-FR"/>
        </w:rPr>
        <w:t xml:space="preserve">Bureau de presse: </w:t>
      </w:r>
      <w:r w:rsidRPr="00577DC6">
        <w:rPr>
          <w:rFonts w:cs="Vani"/>
          <w:b/>
          <w:color w:val="000000"/>
          <w:sz w:val="20"/>
          <w:szCs w:val="20"/>
          <w:lang w:val="fr-FR"/>
        </w:rPr>
        <w:br/>
      </w:r>
      <w:r w:rsidRPr="00577DC6">
        <w:rPr>
          <w:rFonts w:cs="Vani"/>
          <w:color w:val="000000"/>
          <w:sz w:val="20"/>
          <w:szCs w:val="20"/>
          <w:lang w:val="fr-FR"/>
        </w:rPr>
        <w:t xml:space="preserve">Sandra Van Hauwaert, Square Egg Communications, </w:t>
      </w:r>
      <w:hyperlink r:id="rId7" w:history="1">
        <w:r w:rsidRPr="00577DC6">
          <w:rPr>
            <w:rStyle w:val="Hyperlink"/>
            <w:rFonts w:cs="Vani"/>
            <w:color w:val="000000"/>
            <w:sz w:val="20"/>
            <w:szCs w:val="20"/>
            <w:lang w:val="fr-FR"/>
          </w:rPr>
          <w:t>sandra@square-egg.be</w:t>
        </w:r>
      </w:hyperlink>
      <w:r w:rsidRPr="00577DC6">
        <w:rPr>
          <w:rFonts w:cs="Vani"/>
          <w:color w:val="000000"/>
          <w:sz w:val="20"/>
          <w:szCs w:val="20"/>
          <w:lang w:val="fr-FR"/>
        </w:rPr>
        <w:t>, GSM 0497 251816.</w:t>
      </w:r>
      <w:r w:rsidRPr="00EC6788">
        <w:rPr>
          <w:rFonts w:asciiTheme="minorHAnsi" w:hAnsiTheme="minorHAnsi" w:cstheme="minorHAnsi"/>
          <w:sz w:val="20"/>
          <w:szCs w:val="20"/>
          <w:lang w:val="fr-FR"/>
        </w:rPr>
        <w:t xml:space="preserve"> </w:t>
      </w:r>
    </w:p>
    <w:p w:rsidR="004B60BD" w:rsidRPr="004B60BD" w:rsidRDefault="004B60BD" w:rsidP="004B60BD">
      <w:pPr>
        <w:spacing w:before="93" w:line="360" w:lineRule="auto"/>
        <w:rPr>
          <w:rFonts w:asciiTheme="minorHAnsi" w:hAnsiTheme="minorHAnsi" w:cstheme="minorHAnsi"/>
          <w:bCs/>
          <w:sz w:val="20"/>
          <w:szCs w:val="20"/>
          <w:lang w:val="fr-FR"/>
        </w:rPr>
      </w:pPr>
    </w:p>
    <w:p w:rsidR="004B60BD" w:rsidRDefault="004B60BD" w:rsidP="004B60BD">
      <w:pPr>
        <w:spacing w:before="93" w:line="360" w:lineRule="auto"/>
        <w:rPr>
          <w:rFonts w:asciiTheme="minorHAnsi" w:hAnsiTheme="minorHAnsi" w:cstheme="minorHAnsi"/>
          <w:b/>
          <w:sz w:val="20"/>
          <w:szCs w:val="20"/>
          <w:lang w:val="fr-FR"/>
        </w:rPr>
      </w:pPr>
    </w:p>
    <w:p w:rsidR="004B60BD" w:rsidRDefault="004B60BD" w:rsidP="004B60BD">
      <w:pPr>
        <w:spacing w:before="93" w:line="360" w:lineRule="auto"/>
        <w:rPr>
          <w:rFonts w:asciiTheme="minorHAnsi" w:hAnsiTheme="minorHAnsi" w:cstheme="minorHAnsi"/>
          <w:b/>
          <w:sz w:val="20"/>
          <w:szCs w:val="20"/>
          <w:lang w:val="fr-FR"/>
        </w:rPr>
      </w:pPr>
    </w:p>
    <w:p w:rsidR="004B60BD" w:rsidRPr="004B60BD" w:rsidRDefault="004B60BD" w:rsidP="004B60BD">
      <w:pPr>
        <w:spacing w:before="93" w:line="360" w:lineRule="auto"/>
        <w:rPr>
          <w:rFonts w:asciiTheme="minorHAnsi" w:hAnsiTheme="minorHAnsi" w:cstheme="minorHAnsi"/>
          <w:b/>
          <w:sz w:val="20"/>
          <w:szCs w:val="20"/>
          <w:lang w:val="fr-FR"/>
        </w:rPr>
      </w:pPr>
      <w:r w:rsidRPr="004B60BD">
        <w:rPr>
          <w:rFonts w:asciiTheme="minorHAnsi" w:hAnsiTheme="minorHAnsi" w:cstheme="minorHAnsi"/>
          <w:b/>
          <w:sz w:val="20"/>
          <w:szCs w:val="20"/>
          <w:lang w:val="fr-FR"/>
        </w:rPr>
        <w:t>Légende photo :</w:t>
      </w:r>
    </w:p>
    <w:p w:rsidR="004B60BD" w:rsidRPr="004B60BD" w:rsidRDefault="004B60BD" w:rsidP="004B60BD">
      <w:pPr>
        <w:pStyle w:val="Plattetekst"/>
        <w:spacing w:before="6" w:line="360" w:lineRule="auto"/>
        <w:rPr>
          <w:rFonts w:asciiTheme="minorHAnsi" w:hAnsiTheme="minorHAnsi" w:cstheme="minorHAnsi"/>
          <w:b/>
          <w:sz w:val="20"/>
          <w:szCs w:val="20"/>
          <w:lang w:val="fr-FR"/>
        </w:rPr>
      </w:pPr>
      <w:r w:rsidRPr="004B60BD">
        <w:rPr>
          <w:rFonts w:asciiTheme="minorHAnsi" w:hAnsiTheme="minorHAnsi" w:cstheme="minorHAnsi"/>
          <w:noProof/>
          <w:sz w:val="20"/>
          <w:szCs w:val="20"/>
          <w:lang w:val="fr-FR" w:eastAsia="fr-FR" w:bidi="ar-SA"/>
        </w:rPr>
        <w:drawing>
          <wp:anchor distT="0" distB="0" distL="0" distR="0" simplePos="0" relativeHeight="251659264" behindDoc="0" locked="0" layoutInCell="1" allowOverlap="1" wp14:anchorId="58E29549" wp14:editId="07860630">
            <wp:simplePos x="0" y="0"/>
            <wp:positionH relativeFrom="page">
              <wp:posOffset>827405</wp:posOffset>
            </wp:positionH>
            <wp:positionV relativeFrom="paragraph">
              <wp:posOffset>152945</wp:posOffset>
            </wp:positionV>
            <wp:extent cx="5747831" cy="3835908"/>
            <wp:effectExtent l="0" t="0" r="0" b="0"/>
            <wp:wrapTopAndBottom/>
            <wp:docPr id="4" name="image2.jpeg" descr="Afbeelding met persoon, auto, hand, vasthoud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747831" cy="3835908"/>
                    </a:xfrm>
                    <a:prstGeom prst="rect">
                      <a:avLst/>
                    </a:prstGeom>
                  </pic:spPr>
                </pic:pic>
              </a:graphicData>
            </a:graphic>
          </wp:anchor>
        </w:drawing>
      </w:r>
    </w:p>
    <w:p w:rsidR="004B60BD" w:rsidRPr="004B60BD" w:rsidRDefault="004B60BD" w:rsidP="004B60BD">
      <w:pPr>
        <w:spacing w:before="1" w:line="360" w:lineRule="auto"/>
        <w:ind w:right="1509"/>
        <w:rPr>
          <w:rFonts w:asciiTheme="minorHAnsi" w:hAnsiTheme="minorHAnsi" w:cstheme="minorHAnsi"/>
          <w:i/>
          <w:iCs/>
          <w:sz w:val="20"/>
          <w:szCs w:val="20"/>
        </w:rPr>
      </w:pPr>
      <w:r w:rsidRPr="004B60BD">
        <w:rPr>
          <w:rFonts w:asciiTheme="minorHAnsi" w:hAnsiTheme="minorHAnsi" w:cstheme="minorHAnsi"/>
          <w:i/>
          <w:iCs/>
          <w:w w:val="105"/>
          <w:sz w:val="20"/>
          <w:szCs w:val="20"/>
          <w:lang w:val="fr-FR"/>
        </w:rPr>
        <w:t>La DKV BOX EUROPE, qui permettra de régler les principaux péages acquittés en Europe, est désormais disponible</w:t>
      </w:r>
      <w:r w:rsidRPr="004B60BD">
        <w:rPr>
          <w:rFonts w:asciiTheme="minorHAnsi" w:hAnsiTheme="minorHAnsi" w:cstheme="minorHAnsi"/>
          <w:i/>
          <w:iCs/>
          <w:sz w:val="20"/>
          <w:szCs w:val="20"/>
          <w:lang w:val="fr-FR"/>
        </w:rPr>
        <w:t xml:space="preserve">. </w:t>
      </w:r>
      <w:r w:rsidRPr="004B60BD">
        <w:rPr>
          <w:rFonts w:asciiTheme="minorHAnsi" w:hAnsiTheme="minorHAnsi" w:cstheme="minorHAnsi"/>
          <w:i/>
          <w:iCs/>
          <w:sz w:val="20"/>
          <w:szCs w:val="20"/>
        </w:rPr>
        <w:t>(Image : DKV)</w:t>
      </w:r>
    </w:p>
    <w:p w:rsidR="004B60BD" w:rsidRPr="004B60BD" w:rsidRDefault="004B60BD" w:rsidP="004B60BD">
      <w:pPr>
        <w:spacing w:before="1" w:line="360" w:lineRule="auto"/>
        <w:ind w:left="103" w:right="1509"/>
        <w:rPr>
          <w:rFonts w:asciiTheme="minorHAnsi" w:hAnsiTheme="minorHAnsi" w:cstheme="minorHAnsi"/>
          <w:sz w:val="20"/>
          <w:szCs w:val="20"/>
        </w:rPr>
      </w:pPr>
    </w:p>
    <w:p w:rsidR="004B60BD" w:rsidRPr="004B60BD" w:rsidRDefault="004B60BD" w:rsidP="004B60BD">
      <w:pPr>
        <w:spacing w:before="1" w:line="360" w:lineRule="auto"/>
        <w:ind w:left="103" w:right="1509"/>
        <w:rPr>
          <w:rFonts w:asciiTheme="minorHAnsi" w:hAnsiTheme="minorHAnsi" w:cstheme="minorHAnsi"/>
          <w:sz w:val="20"/>
          <w:szCs w:val="20"/>
        </w:rPr>
      </w:pPr>
    </w:p>
    <w:p w:rsidR="004B60BD" w:rsidRPr="004B60BD" w:rsidRDefault="004B60BD" w:rsidP="004B60BD">
      <w:pPr>
        <w:spacing w:line="360" w:lineRule="auto"/>
        <w:rPr>
          <w:sz w:val="20"/>
          <w:szCs w:val="20"/>
          <w:lang w:val="fr-FR"/>
        </w:rPr>
      </w:pPr>
    </w:p>
    <w:sectPr w:rsidR="004B60BD" w:rsidRPr="004B60BD"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ani">
    <w:panose1 w:val="02040502050405020303"/>
    <w:charset w:val="00"/>
    <w:family w:val="roman"/>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BD"/>
    <w:rsid w:val="004B60BD"/>
    <w:rsid w:val="008924A6"/>
    <w:rsid w:val="008D2E4E"/>
    <w:rsid w:val="00C521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7141"/>
  <w15:chartTrackingRefBased/>
  <w15:docId w15:val="{4918F667-1DAF-2143-A167-BD6DD7CA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B60BD"/>
    <w:pPr>
      <w:widowControl w:val="0"/>
      <w:autoSpaceDE w:val="0"/>
      <w:autoSpaceDN w:val="0"/>
    </w:pPr>
    <w:rPr>
      <w:rFonts w:ascii="Calibri" w:eastAsia="Calibri" w:hAnsi="Calibri" w:cs="Calibri"/>
      <w:sz w:val="22"/>
      <w:szCs w:val="22"/>
      <w:lang w:val="de-DE" w:eastAsia="de-DE" w:bidi="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4B60BD"/>
    <w:rPr>
      <w:sz w:val="24"/>
      <w:szCs w:val="24"/>
    </w:rPr>
  </w:style>
  <w:style w:type="character" w:customStyle="1" w:styleId="PlattetekstChar">
    <w:name w:val="Platte tekst Char"/>
    <w:basedOn w:val="Standaardalinea-lettertype"/>
    <w:link w:val="Plattetekst"/>
    <w:uiPriority w:val="1"/>
    <w:rsid w:val="004B60BD"/>
    <w:rPr>
      <w:rFonts w:ascii="Calibri" w:eastAsia="Calibri" w:hAnsi="Calibri" w:cs="Calibri"/>
      <w:lang w:val="de-DE" w:eastAsia="de-DE" w:bidi="de-DE"/>
    </w:rPr>
  </w:style>
  <w:style w:type="character" w:styleId="Hyperlink">
    <w:name w:val="Hyperlink"/>
    <w:rsid w:val="004B60BD"/>
    <w:rPr>
      <w:color w:val="0000FF"/>
      <w:u w:val="single"/>
    </w:rPr>
  </w:style>
  <w:style w:type="paragraph" w:styleId="Tekstzonderopmaak">
    <w:name w:val="Plain Text"/>
    <w:basedOn w:val="Standaard"/>
    <w:link w:val="TekstzonderopmaakChar"/>
    <w:uiPriority w:val="99"/>
    <w:unhideWhenUsed/>
    <w:rsid w:val="004B60BD"/>
    <w:pPr>
      <w:widowControl/>
      <w:autoSpaceDE/>
      <w:autoSpaceDN/>
    </w:pPr>
    <w:rPr>
      <w:rFonts w:ascii="Arial" w:hAnsi="Arial" w:cs="Arial"/>
      <w:sz w:val="20"/>
      <w:szCs w:val="20"/>
      <w:lang w:eastAsia="en-US" w:bidi="ar-SA"/>
    </w:rPr>
  </w:style>
  <w:style w:type="character" w:customStyle="1" w:styleId="TekstzonderopmaakChar">
    <w:name w:val="Tekst zonder opmaak Char"/>
    <w:basedOn w:val="Standaardalinea-lettertype"/>
    <w:link w:val="Tekstzonderopmaak"/>
    <w:uiPriority w:val="99"/>
    <w:rsid w:val="004B60BD"/>
    <w:rPr>
      <w:rFonts w:ascii="Arial" w:eastAsia="Calibri" w:hAnsi="Arial" w:cs="Arial"/>
      <w:sz w:val="20"/>
      <w:szCs w:val="20"/>
      <w:lang w:val="de-DE"/>
    </w:rPr>
  </w:style>
  <w:style w:type="character" w:customStyle="1" w:styleId="apple-converted-space">
    <w:name w:val="apple-converted-space"/>
    <w:basedOn w:val="Standaardalinea-lettertype"/>
    <w:rsid w:val="008D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hyperlink" Target="http://www.dkv-euroservice.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2370</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2019-11-07T09:25:00Z</dcterms:created>
  <dcterms:modified xsi:type="dcterms:W3CDTF">2019-11-07T09:58:00Z</dcterms:modified>
</cp:coreProperties>
</file>